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1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104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r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 xml:space="preserve">Право заключения договора на поставку комплектующих для штукатурных работ и выравнивания полов (ЧЭ)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RAD260041959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26.08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9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101 672,36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каждого товара,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ЭТП, обращаться к регламенту </w:t>
      </w:r>
      <w:r>
        <w:rPr>
          <w:sz w:val="24"/>
          <w:szCs w:val="24"/>
        </w:rPr>
        <w:t xml:space="preserve">ЭТП, а также оператору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течение 30 календарных дней с момента заключения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Территория Челябинской области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 товарам/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/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  <w:highlight w:val="white"/>
        </w:rPr>
        <w:t xml:space="preserve">сравнения</w:t>
      </w:r>
      <w:r>
        <w:rPr>
          <w:sz w:val="24"/>
          <w:szCs w:val="24"/>
          <w:highlight w:val="white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  <w:highlight w:val="white"/>
        </w:rPr>
        <w:t xml:space="preserve"> доверенности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 </w:t>
      </w:r>
      <w:r>
        <w:rPr>
          <w:sz w:val="24"/>
          <w:szCs w:val="24"/>
          <w:highlight w:val="white"/>
        </w:rPr>
        <w:t xml:space="preserve">Э</w:t>
      </w:r>
      <w:r>
        <w:rPr>
          <w:sz w:val="24"/>
          <w:szCs w:val="24"/>
          <w:highlight w:val="white"/>
        </w:rPr>
        <w:t xml:space="preserve">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С</w:t>
      </w:r>
      <w:r>
        <w:rPr>
          <w:sz w:val="24"/>
          <w:szCs w:val="24"/>
          <w:highlight w:val="yellow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sz w:val="24"/>
          <w:szCs w:val="24"/>
          <w:highlight w:val="yellow"/>
        </w:rPr>
        <w:t xml:space="preserve">в</w:t>
      </w:r>
      <w:r>
        <w:rPr>
          <w:sz w:val="24"/>
          <w:szCs w:val="24"/>
          <w:highlight w:val="yellow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sz w:val="24"/>
          <w:szCs w:val="24"/>
          <w:highlight w:val="yellow"/>
        </w:rPr>
        <w:t xml:space="preserve">л</w:t>
      </w:r>
      <w:r>
        <w:rPr>
          <w:sz w:val="24"/>
          <w:szCs w:val="24"/>
          <w:highlight w:val="yellow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sz w:val="24"/>
          <w:szCs w:val="24"/>
          <w:highlight w:val="yellow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При наличии в заявке указанных расхождений, закупочная комиссия принимает решение об отклонении заявки.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01.09</w:t>
      </w:r>
      <w:r>
        <w:rPr>
          <w:b/>
          <w:sz w:val="24"/>
          <w:szCs w:val="24"/>
          <w:highlight w:val="yellow"/>
        </w:rPr>
        <w:t xml:space="preserve">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0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0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Отнесение участника закупки к</w:t>
      </w:r>
      <w:r>
        <w:rPr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</w:rPr>
        <w:t xml:space="preserve">в Реестре иностранных агентов, </w:t>
      </w:r>
      <w:r>
        <w:rPr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line="240" w:lineRule="auto"/>
        <w:rPr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  <w:t xml:space="preserve">20.</w:t>
      </w:r>
      <w:r>
        <w:rPr>
          <w:rFonts w:eastAsia="Calibri"/>
          <w:b/>
          <w:bCs/>
          <w:sz w:val="24"/>
          <w:szCs w:val="24"/>
          <w:highlight w:val="none"/>
        </w:rPr>
        <w:t xml:space="preserve"> 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0.1. Приоритет товаров россий</w:t>
      </w:r>
      <w:r>
        <w:rPr>
          <w:rFonts w:eastAsia="Calibri"/>
          <w:sz w:val="24"/>
          <w:szCs w:val="24"/>
          <w:highlight w:val="none"/>
        </w:rPr>
        <w:t xml:space="preserve">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non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non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rFonts w:eastAsia="Calibri"/>
          <w:sz w:val="24"/>
          <w:szCs w:val="24"/>
          <w:highlight w:val="none"/>
        </w:rPr>
        <w:t xml:space="preserve">Приглашения </w:t>
      </w:r>
      <w:r>
        <w:rPr>
          <w:rFonts w:eastAsia="Calibri"/>
          <w:sz w:val="24"/>
          <w:szCs w:val="24"/>
          <w:highlight w:val="non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none"/>
        </w:rPr>
        <w:t xml:space="preserve">я</w:t>
      </w:r>
      <w:r>
        <w:rPr>
          <w:rFonts w:eastAsia="Calibri"/>
          <w:sz w:val="24"/>
          <w:szCs w:val="24"/>
          <w:highlight w:val="non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</w:t>
      </w:r>
      <w:r>
        <w:rPr>
          <w:rFonts w:eastAsia="Calibri"/>
          <w:sz w:val="24"/>
          <w:szCs w:val="24"/>
          <w:highlight w:val="none"/>
        </w:rPr>
        <w:t xml:space="preserve">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none"/>
        </w:rPr>
        <w:t xml:space="preserve">ромышленной поли</w:t>
      </w:r>
      <w:r>
        <w:rPr>
          <w:rFonts w:eastAsia="Calibri"/>
          <w:sz w:val="24"/>
          <w:szCs w:val="24"/>
          <w:highlight w:val="none"/>
        </w:rPr>
        <w:t xml:space="preserve">тики в целях отнесения этой продукции к российской промышленной продукции.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 Предоставление национального режима при осуществлении закупок.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none"/>
        </w:rPr>
        <w:t xml:space="preserve">й</w:t>
      </w:r>
      <w:r>
        <w:rPr>
          <w:rFonts w:eastAsia="Calibri"/>
          <w:sz w:val="24"/>
          <w:szCs w:val="24"/>
          <w:highlight w:val="non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non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none"/>
        </w:rPr>
        <w:t xml:space="preserve">обязательную долю закупок товаров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преимущество в отношении товаров российского </w:t>
      </w:r>
      <w:r>
        <w:rPr>
          <w:rFonts w:eastAsia="Calibri"/>
          <w:sz w:val="24"/>
          <w:szCs w:val="24"/>
          <w:highlight w:val="none"/>
        </w:rPr>
        <w:t xml:space="preserve">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20.2.2. Если иное не предусмотрено мерами, принятыми</w:t>
      </w:r>
      <w:r>
        <w:rPr>
          <w:rFonts w:eastAsia="Calibri"/>
          <w:sz w:val="24"/>
          <w:szCs w:val="24"/>
          <w:highlight w:val="none"/>
        </w:rPr>
        <w:t xml:space="preserve"> Пр</w:t>
      </w:r>
      <w:r>
        <w:rPr>
          <w:rFonts w:eastAsia="Calibri"/>
          <w:sz w:val="24"/>
          <w:szCs w:val="24"/>
          <w:highlight w:val="none"/>
        </w:rPr>
        <w:t xml:space="preserve">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none"/>
        </w:rPr>
        <w:t xml:space="preserve">м</w:t>
      </w:r>
      <w:r>
        <w:rPr>
          <w:rFonts w:eastAsia="Calibri"/>
          <w:sz w:val="24"/>
          <w:szCs w:val="24"/>
          <w:highlight w:val="non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none"/>
        </w:rPr>
        <w:t xml:space="preserve">енно выполняемой, оказываемой российским лицом.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такого товара;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 и содержащие предложения о поставке товара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non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none"/>
        </w:rPr>
        <w:t xml:space="preserve">тановлен данный запрет.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none"/>
        </w:rPr>
        <w:t xml:space="preserve">данное ограничение,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non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</w:t>
      </w:r>
      <w:r>
        <w:rPr>
          <w:rFonts w:eastAsia="Calibri"/>
          <w:sz w:val="24"/>
          <w:szCs w:val="24"/>
          <w:highlight w:val="none"/>
        </w:rPr>
        <w:t xml:space="preserve">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none"/>
        </w:rPr>
        <w:t xml:space="preserve">П</w:t>
      </w:r>
      <w:r>
        <w:rPr>
          <w:rFonts w:eastAsia="Calibri"/>
          <w:sz w:val="24"/>
          <w:szCs w:val="24"/>
          <w:highlight w:val="none"/>
        </w:rPr>
        <w:t xml:space="preserve">р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г</w:t>
      </w:r>
      <w:r>
        <w:rPr>
          <w:rFonts w:eastAsia="Calibri"/>
          <w:sz w:val="24"/>
          <w:szCs w:val="24"/>
          <w:highlight w:val="none"/>
        </w:rPr>
        <w:t xml:space="preserve">л</w:t>
      </w: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ш</w:t>
      </w:r>
      <w:r>
        <w:rPr>
          <w:rFonts w:eastAsia="Calibri"/>
          <w:sz w:val="24"/>
          <w:szCs w:val="24"/>
          <w:highlight w:val="none"/>
        </w:rPr>
        <w:t xml:space="preserve">е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  <w:t xml:space="preserve">21. </w:t>
      </w:r>
      <w:r>
        <w:rPr>
          <w:sz w:val="24"/>
          <w:szCs w:val="24"/>
          <w:highlight w:val="yellow"/>
        </w:rPr>
        <w:t xml:space="preserve">Заказчик</w:t>
      </w:r>
      <w:r>
        <w:rPr>
          <w:rFonts w:eastAsia="Calibri"/>
          <w:sz w:val="24"/>
          <w:szCs w:val="24"/>
          <w:highlight w:val="yellow"/>
        </w:rPr>
        <w:t xml:space="preserve"> сравнения</w:t>
      </w:r>
      <w:r>
        <w:rPr>
          <w:rFonts w:eastAsia="Calibri"/>
          <w:sz w:val="24"/>
          <w:szCs w:val="24"/>
          <w:highlight w:val="yellow"/>
        </w:rPr>
        <w:t xml:space="preserve"> цен вправе отклонить </w:t>
      </w:r>
      <w:r>
        <w:rPr>
          <w:rFonts w:eastAsia="Calibri"/>
          <w:sz w:val="24"/>
          <w:szCs w:val="24"/>
          <w:highlight w:val="yellow"/>
        </w:rPr>
        <w:t xml:space="preserve">заявку</w:t>
      </w:r>
      <w:r>
        <w:rPr>
          <w:rFonts w:eastAsia="Calibri"/>
          <w:sz w:val="24"/>
          <w:szCs w:val="24"/>
          <w:highlight w:val="yellow"/>
        </w:rPr>
        <w:t xml:space="preserve"> участника на том основании, что </w:t>
      </w:r>
      <w:r>
        <w:rPr>
          <w:rFonts w:eastAsia="Calibri"/>
          <w:sz w:val="24"/>
          <w:szCs w:val="24"/>
          <w:highlight w:val="yellow"/>
        </w:rPr>
        <w:t xml:space="preserve">предложенная участником </w:t>
      </w:r>
      <w:r>
        <w:rPr>
          <w:rFonts w:eastAsia="Calibri"/>
          <w:sz w:val="24"/>
          <w:szCs w:val="24"/>
          <w:highlight w:val="yellow"/>
        </w:rPr>
        <w:t xml:space="preserve">цена в </w:t>
      </w:r>
      <w:r>
        <w:rPr>
          <w:rFonts w:eastAsia="Calibri"/>
          <w:sz w:val="24"/>
          <w:szCs w:val="24"/>
          <w:highlight w:val="yellow"/>
        </w:rPr>
        <w:t xml:space="preserve">заявке</w:t>
      </w:r>
      <w:r>
        <w:rPr>
          <w:rFonts w:eastAsia="Calibri"/>
          <w:sz w:val="24"/>
          <w:szCs w:val="24"/>
          <w:highlight w:val="yellow"/>
        </w:rPr>
        <w:t xml:space="preserve"> не соответствует </w:t>
      </w:r>
      <w:r>
        <w:rPr>
          <w:rFonts w:eastAsia="Calibri"/>
          <w:sz w:val="24"/>
          <w:szCs w:val="24"/>
          <w:highlight w:val="yellow"/>
        </w:rPr>
        <w:t xml:space="preserve">цене на котировочной доске электронной системы </w:t>
      </w:r>
      <w:r>
        <w:rPr>
          <w:rFonts w:eastAsia="Calibri"/>
          <w:color w:val="000000" w:themeColor="text1"/>
          <w:sz w:val="24"/>
          <w:szCs w:val="24"/>
          <w:highlight w:val="yellow"/>
        </w:rPr>
        <w:t xml:space="preserve">ЭТП.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22. Договор по </w:t>
      </w:r>
      <w:r>
        <w:rPr>
          <w:sz w:val="24"/>
          <w:szCs w:val="24"/>
        </w:rPr>
        <w:t xml:space="preserve">результатам</w:t>
      </w:r>
      <w:r>
        <w:rPr>
          <w:sz w:val="24"/>
          <w:szCs w:val="24"/>
        </w:rPr>
        <w:t xml:space="preserve"> закупки между Заказчиком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Участником</w:t>
      </w:r>
      <w:r>
        <w:rPr>
          <w:sz w:val="24"/>
          <w:szCs w:val="24"/>
        </w:rPr>
        <w:t xml:space="preserve">, представившим наилучшую </w:t>
      </w:r>
      <w:r>
        <w:rPr>
          <w:sz w:val="24"/>
          <w:szCs w:val="24"/>
        </w:rPr>
        <w:t xml:space="preserve">заявку,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заключен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20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23. 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24. Основания, порядок и последствия признания закупки несостоявшейся установлены Единым стандартом закупок ПАО Россети (Положение о закупк</w:t>
      </w:r>
      <w:r>
        <w:rPr>
          <w:sz w:val="24"/>
          <w:szCs w:val="24"/>
          <w:highlight w:val="none"/>
        </w:rPr>
        <w:t xml:space="preserve">е, </w:t>
      </w:r>
      <w:r>
        <w:rPr>
          <w:sz w:val="24"/>
          <w:szCs w:val="24"/>
          <w:highlight w:val="none"/>
        </w:rPr>
        <w:t xml:space="preserve">Стандарт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25.</w:t>
      </w:r>
      <w:r>
        <w:rPr>
          <w:b/>
          <w:sz w:val="24"/>
          <w:szCs w:val="24"/>
        </w:rPr>
        <w:t xml:space="preserve"> 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Таратухиной </w:t>
      </w:r>
      <w:r>
        <w:rPr>
          <w:b/>
          <w:sz w:val="24"/>
          <w:szCs w:val="24"/>
        </w:rPr>
        <w:t xml:space="preserve">Анастасии Александровне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22-35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69"/>
          <w:b/>
          <w:bCs/>
          <w:sz w:val="24"/>
          <w:szCs w:val="24"/>
        </w:rPr>
        <w:t xml:space="preserve"> </w:t>
      </w:r>
      <w:r>
        <w:rPr>
          <w:rStyle w:val="1069"/>
          <w:b/>
          <w:bCs/>
          <w:sz w:val="24"/>
          <w:szCs w:val="24"/>
        </w:rPr>
        <w:t xml:space="preserve">T</w:t>
      </w:r>
      <w:r>
        <w:rPr>
          <w:rStyle w:val="1069"/>
          <w:b/>
          <w:bCs/>
          <w:sz w:val="24"/>
          <w:szCs w:val="24"/>
        </w:rPr>
        <w:t xml:space="preserve">a</w:t>
      </w:r>
      <w:r>
        <w:rPr>
          <w:rStyle w:val="1069"/>
          <w:b/>
          <w:bCs/>
          <w:sz w:val="24"/>
          <w:szCs w:val="24"/>
        </w:rPr>
        <w:t xml:space="preserve">r</w:t>
      </w:r>
      <w:r>
        <w:rPr>
          <w:rStyle w:val="1069"/>
          <w:b/>
          <w:bCs/>
          <w:sz w:val="24"/>
          <w:szCs w:val="24"/>
        </w:rPr>
        <w:t xml:space="preserve">a</w:t>
      </w:r>
      <w:r>
        <w:rPr>
          <w:rStyle w:val="1069"/>
          <w:b/>
          <w:bCs/>
          <w:sz w:val="24"/>
          <w:szCs w:val="24"/>
        </w:rPr>
        <w:t xml:space="preserve">t</w:t>
      </w:r>
      <w:r>
        <w:rPr>
          <w:rStyle w:val="1069"/>
          <w:b/>
          <w:bCs/>
          <w:sz w:val="24"/>
          <w:szCs w:val="24"/>
        </w:rPr>
        <w:t xml:space="preserve">u</w:t>
      </w:r>
      <w:r>
        <w:rPr>
          <w:rStyle w:val="1069"/>
          <w:b/>
          <w:bCs/>
          <w:sz w:val="24"/>
          <w:szCs w:val="24"/>
        </w:rPr>
        <w:t xml:space="preserve">h</w:t>
      </w:r>
      <w:r>
        <w:rPr>
          <w:rStyle w:val="1069"/>
          <w:b/>
          <w:bCs/>
          <w:sz w:val="24"/>
          <w:szCs w:val="24"/>
        </w:rPr>
        <w:t xml:space="preserve">i</w:t>
      </w:r>
      <w:r>
        <w:rPr>
          <w:rStyle w:val="1069"/>
          <w:b/>
          <w:bCs/>
          <w:sz w:val="24"/>
          <w:szCs w:val="24"/>
        </w:rPr>
        <w:t xml:space="preserve">n</w:t>
      </w:r>
      <w:r>
        <w:rPr>
          <w:rStyle w:val="1069"/>
          <w:b/>
          <w:bCs/>
          <w:sz w:val="24"/>
          <w:szCs w:val="24"/>
        </w:rPr>
        <w:t xml:space="preserve">a</w:t>
      </w:r>
      <w:r>
        <w:rPr>
          <w:rStyle w:val="1069"/>
          <w:b/>
          <w:bCs/>
          <w:sz w:val="24"/>
          <w:szCs w:val="24"/>
        </w:rPr>
        <w:t xml:space="preserve">-</w:t>
      </w:r>
      <w:r>
        <w:rPr>
          <w:rStyle w:val="1069"/>
          <w:b/>
          <w:bCs/>
          <w:sz w:val="24"/>
          <w:szCs w:val="24"/>
        </w:rPr>
        <w:t xml:space="preserve">A</w:t>
      </w:r>
      <w:r>
        <w:rPr>
          <w:rStyle w:val="1069"/>
          <w:b/>
          <w:bCs/>
          <w:sz w:val="24"/>
          <w:szCs w:val="24"/>
        </w:rPr>
        <w:t xml:space="preserve">A</w:t>
      </w:r>
      <w:hyperlink r:id="rId15" w:tooltip="mailto:Lebedkina-AN@rosseti-ural.ru" w:history="1">
        <w:r>
          <w:rPr>
            <w:rStyle w:val="1069"/>
            <w:b/>
            <w:sz w:val="24"/>
            <w:szCs w:val="24"/>
          </w:rPr>
          <w:t xml:space="preserve">@rosseti-ural.ru</w:t>
        </w:r>
        <w:r>
          <w:rPr>
            <w:rStyle w:val="1069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69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</w:t>
      </w:r>
      <w:r>
        <w:rPr>
          <w:sz w:val="24"/>
          <w:szCs w:val="24"/>
          <w:highlight w:val="white"/>
        </w:rPr>
        <w:t xml:space="preserve">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Указанный документ размещен в сети Интернет по адресу: </w:t>
      </w:r>
      <w:r>
        <w:rPr>
          <w:sz w:val="24"/>
          <w:szCs w:val="24"/>
          <w:highlight w:val="white"/>
        </w:rPr>
      </w:r>
      <w:hyperlink r:id="rId17" w:tooltip="https://rosseti-ural.ru/company/trade/" w:history="1">
        <w:r>
          <w:rPr>
            <w:rStyle w:val="1069"/>
            <w:sz w:val="24"/>
            <w:szCs w:val="24"/>
            <w:highlight w:val="white"/>
          </w:rPr>
          <w:t xml:space="preserve">https://rosseti-ural.ru/company/trade/</w:t>
        </w:r>
        <w:r>
          <w:rPr>
            <w:rStyle w:val="1069"/>
            <w:sz w:val="24"/>
            <w:szCs w:val="24"/>
            <w:highlight w:val="white"/>
          </w:rPr>
        </w:r>
      </w:hyperlink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  <w:highlight w:val="white"/>
        </w:rPr>
        <w:outlineLvl w:val="1"/>
      </w:pPr>
      <w:r>
        <w:rPr>
          <w:b/>
          <w:highlight w:val="white"/>
        </w:rPr>
      </w:r>
      <w:r>
        <w:rPr>
          <w:b/>
          <w:highlight w:val="white"/>
        </w:rPr>
        <w:t xml:space="preserve">Заявка </w:t>
      </w:r>
      <w:r>
        <w:rPr>
          <w:b/>
          <w:highlight w:val="white"/>
        </w:rPr>
        <w:t xml:space="preserve">на </w:t>
      </w:r>
      <w:r>
        <w:rPr>
          <w:b/>
          <w:highlight w:val="white"/>
        </w:rPr>
        <w:t xml:space="preserve">участие в закупке способом сравнения цен в </w:t>
      </w:r>
      <w:r>
        <w:rPr>
          <w:b/>
          <w:highlight w:val="white"/>
        </w:rPr>
        <w:t xml:space="preserve">электронной форм</w:t>
      </w:r>
      <w:r>
        <w:rPr>
          <w:b/>
          <w:highlight w:val="white"/>
        </w:rPr>
        <w:t xml:space="preserve">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white"/>
        </w:rPr>
        <w:t xml:space="preserve">ЭТП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hyperlink r:id="rId18" w:tooltip="https://tender.lot-online.ru" w:history="1">
        <w:r>
          <w:rPr>
            <w:rStyle w:val="1069"/>
            <w:b/>
            <w:sz w:val="24"/>
            <w:highlight w:val="yellow"/>
          </w:rPr>
          <w:t xml:space="preserve">https://</w:t>
        </w:r>
        <w:r>
          <w:rPr>
            <w:rStyle w:val="1069"/>
            <w:b/>
            <w:sz w:val="24"/>
            <w:highlight w:val="yellow"/>
            <w:lang w:val="en-US"/>
          </w:rPr>
          <w:t xml:space="preserve">tender</w:t>
        </w:r>
        <w:r>
          <w:rPr>
            <w:rStyle w:val="1069"/>
            <w:b/>
            <w:sz w:val="24"/>
            <w:highlight w:val="yellow"/>
          </w:rPr>
          <w:t xml:space="preserve">.</w:t>
        </w:r>
        <w:r>
          <w:rPr>
            <w:rStyle w:val="1069"/>
            <w:b/>
            <w:sz w:val="24"/>
            <w:highlight w:val="yellow"/>
            <w:lang w:val="en-US"/>
          </w:rPr>
          <w:t xml:space="preserve">lot</w:t>
        </w:r>
        <w:r>
          <w:rPr>
            <w:rStyle w:val="1069"/>
            <w:b/>
            <w:sz w:val="24"/>
            <w:highlight w:val="yellow"/>
          </w:rPr>
          <w:t xml:space="preserve">-</w:t>
        </w:r>
        <w:r>
          <w:rPr>
            <w:rStyle w:val="1069"/>
            <w:b/>
            <w:sz w:val="24"/>
            <w:highlight w:val="yellow"/>
            <w:lang w:val="en-US"/>
          </w:rPr>
          <w:t xml:space="preserve">online</w:t>
        </w:r>
        <w:r>
          <w:rPr>
            <w:rStyle w:val="1069"/>
            <w:b/>
            <w:sz w:val="24"/>
            <w:highlight w:val="yellow"/>
          </w:rPr>
          <w:t xml:space="preserve">.</w:t>
        </w:r>
        <w:r>
          <w:rPr>
            <w:rStyle w:val="1069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/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"https://rosseti.roseltorg.ru" </w:instrText>
      </w:r>
      <w:r>
        <w:rPr>
          <w:highlight w:val="yellow"/>
        </w:rPr>
        <w:fldChar w:fldCharType="separate"/>
      </w:r>
      <w:r>
        <w:rPr>
          <w:rStyle w:val="1069"/>
          <w:b/>
          <w:sz w:val="24"/>
          <w:highlight w:val="yellow"/>
        </w:rPr>
        <w:t xml:space="preserve">https</w:t>
      </w:r>
      <w:r>
        <w:rPr>
          <w:rStyle w:val="1069"/>
          <w:b/>
          <w:sz w:val="24"/>
          <w:highlight w:val="yellow"/>
        </w:rPr>
        <w:t xml:space="preserve">://rosseti.roseltorg.ru</w:t>
      </w:r>
      <w:r>
        <w:rPr>
          <w:rStyle w:val="1069"/>
          <w:b/>
          <w:sz w:val="24"/>
          <w:highlight w:val="yellow"/>
        </w:rPr>
        <w:fldChar w:fldCharType="end"/>
      </w:r>
      <w:r>
        <w:rPr>
          <w:color w:val="000000" w:themeColor="text1"/>
          <w:sz w:val="24"/>
          <w:szCs w:val="24"/>
          <w:highlight w:val="white"/>
        </w:rPr>
        <w:t xml:space="preserve">, извещение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№</w:t>
      </w:r>
      <w:r>
        <w:rPr>
          <w:color w:val="000000" w:themeColor="text1"/>
          <w:sz w:val="24"/>
          <w:szCs w:val="24"/>
          <w:highlight w:val="white"/>
        </w:rPr>
        <w:t xml:space="preserve"> </w:t>
      </w:r>
      <w:r>
        <w:rPr>
          <w:b/>
          <w:sz w:val="24"/>
          <w:szCs w:val="24"/>
          <w:highlight w:val="white"/>
        </w:rPr>
        <w:t xml:space="preserve">______________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на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_____________________</w:t>
      </w:r>
      <w:r>
        <w:rPr>
          <w:rStyle w:val="1120"/>
          <w:highlight w:val="none"/>
        </w:rPr>
        <w:t xml:space="preserve">(указывается предмет закупки)</w:t>
      </w:r>
      <w:r>
        <w:rPr>
          <w:b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rStyle w:val="1120"/>
          <w:highlight w:val="none"/>
        </w:rPr>
        <w:t xml:space="preserve">(указывает</w:t>
      </w:r>
      <w:r>
        <w:rPr>
          <w:rStyle w:val="1120"/>
          <w:highlight w:val="none"/>
        </w:rPr>
        <w:t xml:space="preserve">ся </w:t>
      </w:r>
      <w:r>
        <w:rPr>
          <w:rStyle w:val="1120"/>
          <w:highlight w:val="none"/>
        </w:rPr>
        <w:t xml:space="preserve">полное наименование Участника закупки с указанием организационно-правовой формы</w:t>
      </w:r>
      <w:r>
        <w:rPr>
          <w:rStyle w:val="1120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120"/>
                <w:sz w:val="20"/>
                <w:szCs w:val="20"/>
              </w:rPr>
              <w:t xml:space="preserve">(</w:t>
            </w:r>
            <w:r>
              <w:rPr>
                <w:rStyle w:val="1120"/>
                <w:sz w:val="20"/>
                <w:szCs w:val="20"/>
              </w:rPr>
              <w:t xml:space="preserve">заполнить поле</w:t>
            </w:r>
            <w:r>
              <w:rPr>
                <w:rStyle w:val="1120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120"/>
                <w:sz w:val="20"/>
                <w:szCs w:val="20"/>
              </w:rPr>
              <w:t xml:space="preserve">(</w:t>
            </w:r>
            <w:r>
              <w:rPr>
                <w:rStyle w:val="1120"/>
                <w:sz w:val="20"/>
                <w:szCs w:val="20"/>
              </w:rPr>
              <w:t xml:space="preserve">заполнить поле</w:t>
            </w:r>
            <w:r>
              <w:rPr>
                <w:rStyle w:val="112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120"/>
                <w:sz w:val="20"/>
                <w:szCs w:val="20"/>
              </w:rPr>
              <w:t xml:space="preserve">(</w:t>
            </w:r>
            <w:r>
              <w:rPr>
                <w:rStyle w:val="1120"/>
                <w:sz w:val="20"/>
                <w:szCs w:val="20"/>
              </w:rPr>
              <w:t xml:space="preserve">заполнить поле</w:t>
            </w:r>
            <w:r>
              <w:rPr>
                <w:rStyle w:val="112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10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 ___________________</w:t>
      </w:r>
      <w:r>
        <w:rPr>
          <w:sz w:val="24"/>
          <w:szCs w:val="24"/>
        </w:rPr>
        <w:t xml:space="preserve">Факс:_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___________________/КПП:_______________________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</w:t>
      </w:r>
      <w:r>
        <w:rPr>
          <w:sz w:val="24"/>
          <w:szCs w:val="24"/>
        </w:rPr>
        <w:t xml:space="preserve">счет:_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</w:t>
      </w:r>
      <w:r>
        <w:rPr>
          <w:sz w:val="24"/>
          <w:szCs w:val="24"/>
        </w:rPr>
        <w:t xml:space="preserve">счет: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  <w:highlight w:val="none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</w:p>
    <w:tbl>
      <w:tblPr>
        <w:tblW w:w="1030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41"/>
        <w:gridCol w:w="300"/>
        <w:gridCol w:w="53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0"/>
        <w:tabs>
          <w:tab w:val="left" w:pos="1080" w:leader="none"/>
        </w:tabs>
        <w:rPr>
          <w:b/>
          <w:highlight w:val="white"/>
        </w:rPr>
      </w:pPr>
      <w:r>
        <w:rPr>
          <w:b/>
          <w:sz w:val="20"/>
          <w:szCs w:val="20"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109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1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2" w:tooltip="https://www.mrsk-ural.ru/company/anticorruption/" w:history="1">
        <w:r>
          <w:rPr>
            <w:rStyle w:val="1069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1067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5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1046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1047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1048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1049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1050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9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43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1044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1045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92">
    <w:name w:val="Heading 1 Char"/>
    <w:basedOn w:val="1051"/>
    <w:link w:val="1042"/>
    <w:uiPriority w:val="9"/>
    <w:rPr>
      <w:rFonts w:ascii="Arial" w:hAnsi="Arial" w:eastAsia="Arial" w:cs="Arial"/>
      <w:sz w:val="40"/>
      <w:szCs w:val="40"/>
    </w:rPr>
  </w:style>
  <w:style w:type="character" w:styleId="893">
    <w:name w:val="Heading 2 Char"/>
    <w:basedOn w:val="1051"/>
    <w:link w:val="1043"/>
    <w:uiPriority w:val="9"/>
    <w:rPr>
      <w:rFonts w:ascii="Arial" w:hAnsi="Arial" w:eastAsia="Arial" w:cs="Arial"/>
      <w:sz w:val="34"/>
    </w:rPr>
  </w:style>
  <w:style w:type="character" w:styleId="894">
    <w:name w:val="Heading 3 Char"/>
    <w:basedOn w:val="1051"/>
    <w:link w:val="1044"/>
    <w:uiPriority w:val="9"/>
    <w:rPr>
      <w:rFonts w:ascii="Arial" w:hAnsi="Arial" w:eastAsia="Arial" w:cs="Arial"/>
      <w:sz w:val="30"/>
      <w:szCs w:val="30"/>
    </w:rPr>
  </w:style>
  <w:style w:type="character" w:styleId="895">
    <w:name w:val="Heading 4 Char"/>
    <w:basedOn w:val="1051"/>
    <w:link w:val="1045"/>
    <w:uiPriority w:val="9"/>
    <w:rPr>
      <w:rFonts w:ascii="Arial" w:hAnsi="Arial" w:eastAsia="Arial" w:cs="Arial"/>
      <w:b/>
      <w:bCs/>
      <w:sz w:val="26"/>
      <w:szCs w:val="26"/>
    </w:rPr>
  </w:style>
  <w:style w:type="character" w:styleId="896">
    <w:name w:val="Heading 5 Char"/>
    <w:basedOn w:val="1051"/>
    <w:link w:val="1046"/>
    <w:uiPriority w:val="9"/>
    <w:rPr>
      <w:rFonts w:ascii="Arial" w:hAnsi="Arial" w:eastAsia="Arial" w:cs="Arial"/>
      <w:b/>
      <w:bCs/>
      <w:sz w:val="24"/>
      <w:szCs w:val="24"/>
    </w:rPr>
  </w:style>
  <w:style w:type="character" w:styleId="897">
    <w:name w:val="Heading 6 Char"/>
    <w:basedOn w:val="1051"/>
    <w:link w:val="1047"/>
    <w:uiPriority w:val="9"/>
    <w:rPr>
      <w:rFonts w:ascii="Arial" w:hAnsi="Arial" w:eastAsia="Arial" w:cs="Arial"/>
      <w:b/>
      <w:bCs/>
      <w:sz w:val="22"/>
      <w:szCs w:val="22"/>
    </w:rPr>
  </w:style>
  <w:style w:type="character" w:styleId="898">
    <w:name w:val="Heading 7 Char"/>
    <w:basedOn w:val="1051"/>
    <w:link w:val="10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9">
    <w:name w:val="Heading 8 Char"/>
    <w:basedOn w:val="1051"/>
    <w:link w:val="1049"/>
    <w:uiPriority w:val="9"/>
    <w:rPr>
      <w:rFonts w:ascii="Arial" w:hAnsi="Arial" w:eastAsia="Arial" w:cs="Arial"/>
      <w:i/>
      <w:iCs/>
      <w:sz w:val="22"/>
      <w:szCs w:val="22"/>
    </w:rPr>
  </w:style>
  <w:style w:type="character" w:styleId="900">
    <w:name w:val="Heading 9 Char"/>
    <w:basedOn w:val="1051"/>
    <w:link w:val="1050"/>
    <w:uiPriority w:val="9"/>
    <w:rPr>
      <w:rFonts w:ascii="Arial" w:hAnsi="Arial" w:eastAsia="Arial" w:cs="Arial"/>
      <w:i/>
      <w:iCs/>
      <w:sz w:val="21"/>
      <w:szCs w:val="21"/>
    </w:rPr>
  </w:style>
  <w:style w:type="character" w:styleId="901">
    <w:name w:val="Title Char"/>
    <w:basedOn w:val="1051"/>
    <w:link w:val="1113"/>
    <w:uiPriority w:val="10"/>
    <w:rPr>
      <w:sz w:val="48"/>
      <w:szCs w:val="48"/>
    </w:rPr>
  </w:style>
  <w:style w:type="paragraph" w:styleId="902">
    <w:name w:val="Subtitle"/>
    <w:basedOn w:val="1041"/>
    <w:next w:val="1041"/>
    <w:link w:val="903"/>
    <w:uiPriority w:val="11"/>
    <w:qFormat/>
    <w:pPr>
      <w:spacing w:before="200" w:after="200"/>
    </w:pPr>
    <w:rPr>
      <w:sz w:val="24"/>
      <w:szCs w:val="24"/>
    </w:rPr>
  </w:style>
  <w:style w:type="character" w:styleId="903">
    <w:name w:val="Subtitle Char"/>
    <w:basedOn w:val="1051"/>
    <w:link w:val="902"/>
    <w:uiPriority w:val="11"/>
    <w:rPr>
      <w:sz w:val="24"/>
      <w:szCs w:val="24"/>
    </w:rPr>
  </w:style>
  <w:style w:type="paragraph" w:styleId="904">
    <w:name w:val="Quote"/>
    <w:basedOn w:val="1041"/>
    <w:next w:val="1041"/>
    <w:link w:val="905"/>
    <w:uiPriority w:val="29"/>
    <w:qFormat/>
    <w:pPr>
      <w:ind w:left="720" w:right="720"/>
    </w:pPr>
    <w:rPr>
      <w:i/>
    </w:rPr>
  </w:style>
  <w:style w:type="character" w:styleId="905">
    <w:name w:val="Quote Char"/>
    <w:link w:val="904"/>
    <w:uiPriority w:val="29"/>
    <w:rPr>
      <w:i/>
    </w:rPr>
  </w:style>
  <w:style w:type="paragraph" w:styleId="906">
    <w:name w:val="Intense Quote"/>
    <w:basedOn w:val="1041"/>
    <w:next w:val="1041"/>
    <w:link w:val="9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7">
    <w:name w:val="Intense Quote Char"/>
    <w:link w:val="906"/>
    <w:uiPriority w:val="30"/>
    <w:rPr>
      <w:i/>
    </w:rPr>
  </w:style>
  <w:style w:type="character" w:styleId="908">
    <w:name w:val="Header Char"/>
    <w:basedOn w:val="1051"/>
    <w:link w:val="1065"/>
    <w:uiPriority w:val="99"/>
  </w:style>
  <w:style w:type="character" w:styleId="909">
    <w:name w:val="Footer Char"/>
    <w:basedOn w:val="1051"/>
    <w:link w:val="1067"/>
    <w:uiPriority w:val="99"/>
  </w:style>
  <w:style w:type="character" w:styleId="910">
    <w:name w:val="Caption Char"/>
    <w:basedOn w:val="1051"/>
    <w:link w:val="1083"/>
    <w:uiPriority w:val="35"/>
    <w:rPr>
      <w:b/>
      <w:bCs/>
      <w:color w:val="4f81bd" w:themeColor="accent1"/>
      <w:sz w:val="18"/>
      <w:szCs w:val="18"/>
    </w:rPr>
  </w:style>
  <w:style w:type="table" w:styleId="911">
    <w:name w:val="Table Grid"/>
    <w:basedOn w:val="105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2">
    <w:name w:val="Table Grid Light"/>
    <w:basedOn w:val="10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3">
    <w:name w:val="Plain Table 1"/>
    <w:basedOn w:val="10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4">
    <w:name w:val="Plain Table 2"/>
    <w:basedOn w:val="10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5">
    <w:name w:val="Plain Table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6">
    <w:name w:val="Plain Table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Plain Table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8">
    <w:name w:val="Grid Table 1 Light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1 Light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Grid Table 1 Light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Grid Table 1 Light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1 Light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Grid Table 1 Light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1 Light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Grid Table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2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2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2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2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2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2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3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3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3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3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3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4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0">
    <w:name w:val="Grid Table 4 - Accent 1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41">
    <w:name w:val="Grid Table 4 - Accent 2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2">
    <w:name w:val="Grid Table 4 - Accent 3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3">
    <w:name w:val="Grid Table 4 - Accent 4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4">
    <w:name w:val="Grid Table 4 - Accent 5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45">
    <w:name w:val="Grid Table 4 - Accent 6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6">
    <w:name w:val="Grid Table 5 Dark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7">
    <w:name w:val="Grid Table 5 Dark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8">
    <w:name w:val="Grid Table 5 Dark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9">
    <w:name w:val="Grid Table 5 Dark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50">
    <w:name w:val="Grid Table 5 Dark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51">
    <w:name w:val="Grid Table 5 Dark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52">
    <w:name w:val="Grid Table 5 Dark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53">
    <w:name w:val="Grid Table 6 Colorful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4">
    <w:name w:val="Grid Table 6 Colorful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55">
    <w:name w:val="Grid Table 6 Colorful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6">
    <w:name w:val="Grid Table 6 Colorful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7">
    <w:name w:val="Grid Table 6 Colorful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8">
    <w:name w:val="Grid Table 6 Colorful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9">
    <w:name w:val="Grid Table 6 Colorful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0">
    <w:name w:val="Grid Table 7 Colorful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7 Colorful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7 Colorful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7 Colorful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7 Colorful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7 Colorful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7 Colorful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1 Light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List Table 1 Light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1 Light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1 Light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1 Light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List Table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75">
    <w:name w:val="List Table 2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6">
    <w:name w:val="List Table 2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7">
    <w:name w:val="List Table 2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8">
    <w:name w:val="List Table 2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9">
    <w:name w:val="List Table 2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80">
    <w:name w:val="List Table 2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81">
    <w:name w:val="List Table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3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3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3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3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3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3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4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4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4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4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5 Dark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6">
    <w:name w:val="List Table 5 Dark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7">
    <w:name w:val="List Table 5 Dark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8">
    <w:name w:val="List Table 5 Dark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9">
    <w:name w:val="List Table 5 Dark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0">
    <w:name w:val="List Table 5 Dark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1">
    <w:name w:val="List Table 5 Dark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2">
    <w:name w:val="List Table 6 Colorful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3">
    <w:name w:val="List Table 6 Colorful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4">
    <w:name w:val="List Table 6 Colorful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5">
    <w:name w:val="List Table 6 Colorful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6">
    <w:name w:val="List Table 6 Colorful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7">
    <w:name w:val="List Table 6 Colorful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8">
    <w:name w:val="List Table 6 Colorful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9">
    <w:name w:val="List Table 7 Colorful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10">
    <w:name w:val="List Table 7 Colorful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11">
    <w:name w:val="List Table 7 Colorful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12">
    <w:name w:val="List Table 7 Colorful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13">
    <w:name w:val="List Table 7 Colorful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14">
    <w:name w:val="List Table 7 Colorful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15">
    <w:name w:val="List Table 7 Colorful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16">
    <w:name w:val="Lined - Accent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Lined - Accent 1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8">
    <w:name w:val="Lined - Accent 2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9">
    <w:name w:val="Lined - Accent 3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0">
    <w:name w:val="Lined - Accent 4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1">
    <w:name w:val="Lined - Accent 5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2">
    <w:name w:val="Lined - Accent 6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3">
    <w:name w:val="Bordered &amp; Lined - Accent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4">
    <w:name w:val="Bordered &amp; Lined - Accent 1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5">
    <w:name w:val="Bordered &amp; Lined - Accent 2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6">
    <w:name w:val="Bordered &amp; Lined - Accent 3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7">
    <w:name w:val="Bordered &amp; Lined - Accent 4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8">
    <w:name w:val="Bordered &amp; Lined - Accent 5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9">
    <w:name w:val="Bordered &amp; Lined - Accent 6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30">
    <w:name w:val="Bordered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31">
    <w:name w:val="Bordered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2">
    <w:name w:val="Bordered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3">
    <w:name w:val="Bordered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4">
    <w:name w:val="Bordered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35">
    <w:name w:val="Bordered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6">
    <w:name w:val="Bordered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7">
    <w:name w:val="Footnote Text Char"/>
    <w:link w:val="1080"/>
    <w:uiPriority w:val="99"/>
    <w:rPr>
      <w:sz w:val="18"/>
    </w:rPr>
  </w:style>
  <w:style w:type="character" w:styleId="1038">
    <w:name w:val="Endnote Text Char"/>
    <w:link w:val="1117"/>
    <w:uiPriority w:val="99"/>
    <w:rPr>
      <w:sz w:val="20"/>
    </w:rPr>
  </w:style>
  <w:style w:type="paragraph" w:styleId="1039">
    <w:name w:val="TOC Heading"/>
    <w:uiPriority w:val="39"/>
    <w:unhideWhenUsed/>
  </w:style>
  <w:style w:type="paragraph" w:styleId="1040">
    <w:name w:val="table of figures"/>
    <w:basedOn w:val="1041"/>
    <w:next w:val="1041"/>
    <w:uiPriority w:val="99"/>
    <w:unhideWhenUsed/>
    <w:pPr>
      <w:spacing w:after="0" w:afterAutospacing="0"/>
    </w:pPr>
  </w:style>
  <w:style w:type="paragraph" w:styleId="104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42">
    <w:name w:val="Heading 1"/>
    <w:basedOn w:val="1041"/>
    <w:next w:val="1041"/>
    <w:link w:val="1054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1043">
    <w:name w:val="Heading 2"/>
    <w:basedOn w:val="1041"/>
    <w:next w:val="1041"/>
    <w:link w:val="1055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1044">
    <w:name w:val="Heading 3"/>
    <w:basedOn w:val="1041"/>
    <w:next w:val="1041"/>
    <w:link w:val="1056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1045">
    <w:name w:val="Heading 4"/>
    <w:basedOn w:val="1041"/>
    <w:next w:val="1041"/>
    <w:link w:val="1057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1046">
    <w:name w:val="Heading 5"/>
    <w:basedOn w:val="1041"/>
    <w:next w:val="1041"/>
    <w:link w:val="1058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47">
    <w:name w:val="Heading 6"/>
    <w:basedOn w:val="1041"/>
    <w:next w:val="1041"/>
    <w:link w:val="1059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1048">
    <w:name w:val="Heading 7"/>
    <w:basedOn w:val="1041"/>
    <w:next w:val="1041"/>
    <w:link w:val="1060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1049">
    <w:name w:val="Heading 8"/>
    <w:basedOn w:val="1041"/>
    <w:next w:val="1041"/>
    <w:link w:val="1061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1050">
    <w:name w:val="Heading 9"/>
    <w:basedOn w:val="1041"/>
    <w:next w:val="1041"/>
    <w:link w:val="1062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1051" w:default="1">
    <w:name w:val="Default Paragraph Font"/>
    <w:uiPriority w:val="1"/>
    <w:semiHidden/>
    <w:unhideWhenUsed/>
  </w:style>
  <w:style w:type="table" w:styleId="10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53" w:default="1">
    <w:name w:val="No List"/>
    <w:uiPriority w:val="99"/>
    <w:semiHidden/>
    <w:unhideWhenUsed/>
  </w:style>
  <w:style w:type="character" w:styleId="1054" w:customStyle="1">
    <w:name w:val="Заголовок 1 Знак"/>
    <w:link w:val="1042"/>
    <w:rPr>
      <w:rFonts w:ascii="Cambria" w:hAnsi="Cambria"/>
      <w:b/>
      <w:bCs/>
      <w:sz w:val="32"/>
      <w:szCs w:val="32"/>
    </w:rPr>
  </w:style>
  <w:style w:type="character" w:styleId="1055" w:customStyle="1">
    <w:name w:val="Заголовок 2 Знак"/>
    <w:link w:val="1043"/>
    <w:rPr>
      <w:rFonts w:ascii="Cambria" w:hAnsi="Cambria"/>
      <w:b/>
      <w:bCs/>
      <w:i/>
      <w:iCs/>
      <w:sz w:val="28"/>
      <w:szCs w:val="28"/>
    </w:rPr>
  </w:style>
  <w:style w:type="character" w:styleId="1056" w:customStyle="1">
    <w:name w:val="Заголовок 3 Знак"/>
    <w:link w:val="1044"/>
    <w:uiPriority w:val="9"/>
    <w:rPr>
      <w:rFonts w:ascii="Cambria" w:hAnsi="Cambria"/>
      <w:b/>
      <w:bCs/>
      <w:sz w:val="26"/>
      <w:szCs w:val="26"/>
    </w:rPr>
  </w:style>
  <w:style w:type="character" w:styleId="1057" w:customStyle="1">
    <w:name w:val="Заголовок 4 Знак"/>
    <w:link w:val="1045"/>
    <w:uiPriority w:val="9"/>
    <w:rPr>
      <w:rFonts w:ascii="Calibri" w:hAnsi="Calibri"/>
      <w:b/>
      <w:bCs/>
      <w:sz w:val="28"/>
      <w:szCs w:val="28"/>
    </w:rPr>
  </w:style>
  <w:style w:type="character" w:styleId="1058" w:customStyle="1">
    <w:name w:val="Заголовок 5 Знак"/>
    <w:link w:val="1046"/>
    <w:uiPriority w:val="9"/>
    <w:rPr>
      <w:rFonts w:ascii="Calibri" w:hAnsi="Calibri"/>
      <w:b/>
      <w:bCs/>
      <w:i/>
      <w:iCs/>
      <w:sz w:val="26"/>
      <w:szCs w:val="26"/>
    </w:rPr>
  </w:style>
  <w:style w:type="character" w:styleId="1059" w:customStyle="1">
    <w:name w:val="Заголовок 6 Знак"/>
    <w:link w:val="1047"/>
    <w:uiPriority w:val="9"/>
    <w:rPr>
      <w:rFonts w:ascii="Calibri" w:hAnsi="Calibri"/>
      <w:b/>
      <w:bCs/>
    </w:rPr>
  </w:style>
  <w:style w:type="character" w:styleId="1060" w:customStyle="1">
    <w:name w:val="Заголовок 7 Знак"/>
    <w:link w:val="1048"/>
    <w:uiPriority w:val="9"/>
    <w:rPr>
      <w:rFonts w:ascii="Calibri" w:hAnsi="Calibri"/>
      <w:sz w:val="24"/>
      <w:szCs w:val="24"/>
    </w:rPr>
  </w:style>
  <w:style w:type="character" w:styleId="1061" w:customStyle="1">
    <w:name w:val="Заголовок 8 Знак"/>
    <w:link w:val="1049"/>
    <w:uiPriority w:val="9"/>
    <w:rPr>
      <w:rFonts w:ascii="Calibri" w:hAnsi="Calibri"/>
      <w:i/>
      <w:iCs/>
      <w:sz w:val="24"/>
      <w:szCs w:val="24"/>
    </w:rPr>
  </w:style>
  <w:style w:type="character" w:styleId="1062" w:customStyle="1">
    <w:name w:val="Заголовок 9 Знак"/>
    <w:link w:val="1050"/>
    <w:uiPriority w:val="9"/>
    <w:rPr>
      <w:rFonts w:ascii="Cambria" w:hAnsi="Cambria"/>
    </w:rPr>
  </w:style>
  <w:style w:type="paragraph" w:styleId="1063">
    <w:name w:val="Balloon Text"/>
    <w:basedOn w:val="1041"/>
    <w:link w:val="1064"/>
    <w:uiPriority w:val="99"/>
    <w:semiHidden/>
    <w:rPr>
      <w:rFonts w:ascii="Tahoma" w:hAnsi="Tahoma"/>
      <w:sz w:val="16"/>
      <w:szCs w:val="16"/>
    </w:rPr>
  </w:style>
  <w:style w:type="character" w:styleId="1064" w:customStyle="1">
    <w:name w:val="Текст выноски Знак"/>
    <w:link w:val="1063"/>
    <w:uiPriority w:val="99"/>
    <w:semiHidden/>
    <w:rPr>
      <w:rFonts w:ascii="Tahoma" w:hAnsi="Tahoma" w:cs="Tahoma"/>
      <w:sz w:val="16"/>
      <w:szCs w:val="16"/>
    </w:rPr>
  </w:style>
  <w:style w:type="paragraph" w:styleId="1065">
    <w:name w:val="Header"/>
    <w:basedOn w:val="1041"/>
    <w:link w:val="106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66" w:customStyle="1">
    <w:name w:val="Верхний колонтитул Знак"/>
    <w:link w:val="1065"/>
    <w:uiPriority w:val="99"/>
    <w:rPr>
      <w:sz w:val="28"/>
      <w:szCs w:val="28"/>
    </w:rPr>
  </w:style>
  <w:style w:type="paragraph" w:styleId="1067">
    <w:name w:val="Footer"/>
    <w:basedOn w:val="1041"/>
    <w:link w:val="1068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68" w:customStyle="1">
    <w:name w:val="Нижний колонтитул Знак"/>
    <w:link w:val="1067"/>
    <w:uiPriority w:val="99"/>
    <w:rPr>
      <w:sz w:val="28"/>
      <w:szCs w:val="28"/>
    </w:rPr>
  </w:style>
  <w:style w:type="character" w:styleId="1069">
    <w:name w:val="Hyperlink"/>
    <w:rPr>
      <w:color w:val="0000ff"/>
      <w:u w:val="single"/>
    </w:rPr>
  </w:style>
  <w:style w:type="character" w:styleId="1070">
    <w:name w:val="footnote reference"/>
    <w:uiPriority w:val="99"/>
    <w:rPr>
      <w:vertAlign w:val="superscript"/>
    </w:rPr>
  </w:style>
  <w:style w:type="character" w:styleId="1071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72">
    <w:name w:val="toc 1"/>
    <w:basedOn w:val="1041"/>
    <w:next w:val="1041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73">
    <w:name w:val="toc 2"/>
    <w:basedOn w:val="1041"/>
    <w:next w:val="1041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74">
    <w:name w:val="toc 3"/>
    <w:basedOn w:val="1041"/>
    <w:next w:val="1041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75">
    <w:name w:val="toc 4"/>
    <w:basedOn w:val="1041"/>
    <w:next w:val="1041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76">
    <w:name w:val="FollowedHyperlink"/>
    <w:uiPriority w:val="99"/>
    <w:rPr>
      <w:color w:val="800080"/>
      <w:u w:val="single"/>
    </w:rPr>
  </w:style>
  <w:style w:type="paragraph" w:styleId="1077">
    <w:name w:val="Document Map"/>
    <w:basedOn w:val="1041"/>
    <w:link w:val="1078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78" w:customStyle="1">
    <w:name w:val="Схема документа Знак"/>
    <w:link w:val="1077"/>
    <w:uiPriority w:val="99"/>
    <w:semiHidden/>
    <w:rPr>
      <w:rFonts w:ascii="Tahoma" w:hAnsi="Tahoma" w:cs="Tahoma"/>
      <w:sz w:val="16"/>
      <w:szCs w:val="16"/>
    </w:rPr>
  </w:style>
  <w:style w:type="paragraph" w:styleId="1079" w:customStyle="1">
    <w:name w:val="Таблица шапка"/>
    <w:basedOn w:val="1041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80">
    <w:name w:val="footnote text"/>
    <w:basedOn w:val="1041"/>
    <w:link w:val="1081"/>
    <w:uiPriority w:val="99"/>
    <w:semiHidden/>
    <w:pPr>
      <w:spacing w:line="240" w:lineRule="auto"/>
    </w:pPr>
    <w:rPr>
      <w:sz w:val="20"/>
      <w:szCs w:val="20"/>
    </w:rPr>
  </w:style>
  <w:style w:type="character" w:styleId="1081" w:customStyle="1">
    <w:name w:val="Текст сноски Знак"/>
    <w:link w:val="1080"/>
    <w:uiPriority w:val="99"/>
    <w:semiHidden/>
    <w:rPr>
      <w:sz w:val="20"/>
      <w:szCs w:val="20"/>
    </w:rPr>
  </w:style>
  <w:style w:type="paragraph" w:styleId="1082" w:customStyle="1">
    <w:name w:val="Таблица текст"/>
    <w:basedOn w:val="104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83">
    <w:name w:val="Caption"/>
    <w:basedOn w:val="1041"/>
    <w:next w:val="1041"/>
    <w:link w:val="910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84">
    <w:name w:val="toc 5"/>
    <w:basedOn w:val="1041"/>
    <w:next w:val="1041"/>
    <w:uiPriority w:val="99"/>
    <w:semiHidden/>
    <w:pPr>
      <w:ind w:left="1120"/>
      <w:jc w:val="left"/>
    </w:pPr>
    <w:rPr>
      <w:sz w:val="18"/>
      <w:szCs w:val="18"/>
    </w:rPr>
  </w:style>
  <w:style w:type="paragraph" w:styleId="1085">
    <w:name w:val="toc 6"/>
    <w:basedOn w:val="1041"/>
    <w:next w:val="1041"/>
    <w:uiPriority w:val="99"/>
    <w:semiHidden/>
    <w:pPr>
      <w:ind w:left="1400"/>
      <w:jc w:val="left"/>
    </w:pPr>
    <w:rPr>
      <w:sz w:val="18"/>
      <w:szCs w:val="18"/>
    </w:rPr>
  </w:style>
  <w:style w:type="paragraph" w:styleId="1086">
    <w:name w:val="toc 7"/>
    <w:basedOn w:val="1041"/>
    <w:next w:val="1041"/>
    <w:uiPriority w:val="99"/>
    <w:semiHidden/>
    <w:pPr>
      <w:ind w:left="1680"/>
      <w:jc w:val="left"/>
    </w:pPr>
    <w:rPr>
      <w:sz w:val="18"/>
      <w:szCs w:val="18"/>
    </w:rPr>
  </w:style>
  <w:style w:type="paragraph" w:styleId="1087">
    <w:name w:val="toc 8"/>
    <w:basedOn w:val="1041"/>
    <w:next w:val="1041"/>
    <w:uiPriority w:val="99"/>
    <w:semiHidden/>
    <w:pPr>
      <w:ind w:left="1960"/>
      <w:jc w:val="left"/>
    </w:pPr>
    <w:rPr>
      <w:sz w:val="18"/>
      <w:szCs w:val="18"/>
    </w:rPr>
  </w:style>
  <w:style w:type="paragraph" w:styleId="1088">
    <w:name w:val="toc 9"/>
    <w:basedOn w:val="1041"/>
    <w:next w:val="1041"/>
    <w:uiPriority w:val="99"/>
    <w:semiHidden/>
    <w:pPr>
      <w:ind w:left="2240"/>
      <w:jc w:val="left"/>
    </w:pPr>
    <w:rPr>
      <w:sz w:val="18"/>
      <w:szCs w:val="18"/>
    </w:rPr>
  </w:style>
  <w:style w:type="paragraph" w:styleId="1089" w:customStyle="1">
    <w:name w:val="маркированный"/>
    <w:basedOn w:val="1041"/>
    <w:uiPriority w:val="99"/>
    <w:pPr>
      <w:ind w:firstLine="0"/>
    </w:pPr>
  </w:style>
  <w:style w:type="paragraph" w:styleId="1090" w:customStyle="1">
    <w:name w:val="Пункт"/>
    <w:basedOn w:val="1041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91" w:customStyle="1">
    <w:name w:val="Пункт Знак"/>
    <w:rPr>
      <w:sz w:val="28"/>
      <w:szCs w:val="28"/>
      <w:lang w:val="ru-RU" w:eastAsia="ru-RU"/>
    </w:rPr>
  </w:style>
  <w:style w:type="paragraph" w:styleId="1092" w:customStyle="1">
    <w:name w:val="Подпункт"/>
    <w:basedOn w:val="1090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93" w:customStyle="1">
    <w:name w:val="Подпункт Знак"/>
    <w:uiPriority w:val="99"/>
  </w:style>
  <w:style w:type="character" w:styleId="1094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95" w:customStyle="1">
    <w:name w:val="Пункт-2"/>
    <w:basedOn w:val="1090"/>
    <w:uiPriority w:val="99"/>
    <w:pPr>
      <w:keepNext/>
      <w:outlineLvl w:val="2"/>
    </w:pPr>
    <w:rPr>
      <w:b/>
      <w:bCs/>
    </w:rPr>
  </w:style>
  <w:style w:type="paragraph" w:styleId="1096" w:customStyle="1">
    <w:name w:val="Подподпункт"/>
    <w:basedOn w:val="1092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97">
    <w:name w:val="List Number"/>
    <w:basedOn w:val="1041"/>
    <w:uiPriority w:val="99"/>
    <w:pPr>
      <w:ind w:firstLine="0"/>
      <w:spacing w:before="60"/>
    </w:pPr>
  </w:style>
  <w:style w:type="paragraph" w:styleId="1098" w:customStyle="1">
    <w:name w:val="Текст таблицы"/>
    <w:basedOn w:val="104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99" w:customStyle="1">
    <w:name w:val="Пункт б/н"/>
    <w:basedOn w:val="1041"/>
    <w:uiPriority w:val="99"/>
    <w:pPr>
      <w:tabs>
        <w:tab w:val="left" w:pos="1134" w:leader="none"/>
      </w:tabs>
    </w:pPr>
  </w:style>
  <w:style w:type="paragraph" w:styleId="1100">
    <w:name w:val="List Bullet"/>
    <w:basedOn w:val="1041"/>
    <w:pPr>
      <w:ind w:firstLine="0"/>
    </w:pPr>
  </w:style>
  <w:style w:type="paragraph" w:styleId="1101">
    <w:name w:val="Body Text 2"/>
    <w:basedOn w:val="1041"/>
    <w:link w:val="1102"/>
    <w:uiPriority w:val="99"/>
    <w:pPr>
      <w:ind w:left="5760" w:firstLine="0"/>
      <w:jc w:val="left"/>
      <w:spacing w:line="240" w:lineRule="auto"/>
    </w:pPr>
  </w:style>
  <w:style w:type="character" w:styleId="1102" w:customStyle="1">
    <w:name w:val="Основной текст 2 Знак"/>
    <w:link w:val="1101"/>
    <w:uiPriority w:val="99"/>
    <w:semiHidden/>
    <w:rPr>
      <w:sz w:val="28"/>
      <w:szCs w:val="28"/>
    </w:rPr>
  </w:style>
  <w:style w:type="paragraph" w:styleId="1103">
    <w:name w:val="annotation text"/>
    <w:basedOn w:val="1041"/>
    <w:link w:val="1107"/>
    <w:semiHidden/>
    <w:rPr>
      <w:sz w:val="20"/>
      <w:szCs w:val="20"/>
    </w:rPr>
  </w:style>
  <w:style w:type="character" w:styleId="1104">
    <w:name w:val="annotation reference"/>
    <w:semiHidden/>
    <w:rPr>
      <w:sz w:val="16"/>
    </w:rPr>
  </w:style>
  <w:style w:type="paragraph" w:styleId="1105" w:customStyle="1">
    <w:name w:val="Пункт_3"/>
    <w:basedOn w:val="1041"/>
    <w:uiPriority w:val="99"/>
    <w:pPr>
      <w:ind w:firstLine="0"/>
      <w:spacing w:line="240" w:lineRule="auto"/>
    </w:pPr>
  </w:style>
  <w:style w:type="paragraph" w:styleId="1106">
    <w:name w:val="annotation subject"/>
    <w:basedOn w:val="1103"/>
    <w:next w:val="1103"/>
    <w:link w:val="1108"/>
    <w:uiPriority w:val="99"/>
    <w:semiHidden/>
    <w:unhideWhenUsed/>
    <w:rPr>
      <w:b/>
      <w:bCs/>
    </w:rPr>
  </w:style>
  <w:style w:type="character" w:styleId="1107" w:customStyle="1">
    <w:name w:val="Текст примечания Знак"/>
    <w:basedOn w:val="1051"/>
    <w:link w:val="1103"/>
    <w:semiHidden/>
  </w:style>
  <w:style w:type="character" w:styleId="1108" w:customStyle="1">
    <w:name w:val="Тема примечания Знак"/>
    <w:link w:val="1106"/>
    <w:uiPriority w:val="99"/>
    <w:semiHidden/>
    <w:rPr>
      <w:b/>
      <w:bCs/>
    </w:rPr>
  </w:style>
  <w:style w:type="paragraph" w:styleId="1109">
    <w:name w:val="List Paragraph"/>
    <w:basedOn w:val="1041"/>
    <w:link w:val="1124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110">
    <w:name w:val="Normal (Web)"/>
    <w:basedOn w:val="1041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111">
    <w:name w:val="Body Text"/>
    <w:basedOn w:val="1041"/>
    <w:link w:val="1112"/>
    <w:uiPriority w:val="99"/>
    <w:semiHidden/>
    <w:unhideWhenUsed/>
    <w:pPr>
      <w:spacing w:after="120"/>
    </w:pPr>
  </w:style>
  <w:style w:type="character" w:styleId="1112" w:customStyle="1">
    <w:name w:val="Основной текст Знак"/>
    <w:link w:val="1111"/>
    <w:uiPriority w:val="99"/>
    <w:semiHidden/>
    <w:rPr>
      <w:sz w:val="28"/>
      <w:szCs w:val="28"/>
    </w:rPr>
  </w:style>
  <w:style w:type="paragraph" w:styleId="1113">
    <w:name w:val="Title"/>
    <w:basedOn w:val="1041"/>
    <w:link w:val="1114"/>
    <w:qFormat/>
    <w:pPr>
      <w:ind w:firstLine="0"/>
      <w:jc w:val="center"/>
      <w:spacing w:line="240" w:lineRule="auto"/>
    </w:pPr>
    <w:rPr>
      <w:b/>
      <w:szCs w:val="20"/>
    </w:rPr>
  </w:style>
  <w:style w:type="character" w:styleId="1114" w:customStyle="1">
    <w:name w:val="Заголовок Знак"/>
    <w:link w:val="1113"/>
    <w:rPr>
      <w:b/>
      <w:sz w:val="28"/>
    </w:rPr>
  </w:style>
  <w:style w:type="paragraph" w:styleId="1115">
    <w:name w:val="Revision"/>
    <w:hidden/>
    <w:uiPriority w:val="99"/>
    <w:semiHidden/>
    <w:rPr>
      <w:sz w:val="28"/>
      <w:szCs w:val="28"/>
    </w:rPr>
  </w:style>
  <w:style w:type="character" w:styleId="1116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17">
    <w:name w:val="endnote text"/>
    <w:basedOn w:val="1041"/>
    <w:link w:val="1118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118" w:customStyle="1">
    <w:name w:val="Текст концевой сноски Знак"/>
    <w:basedOn w:val="1051"/>
    <w:link w:val="1117"/>
    <w:uiPriority w:val="99"/>
    <w:rPr>
      <w:bCs/>
      <w:lang w:eastAsia="ar-SA"/>
    </w:rPr>
  </w:style>
  <w:style w:type="character" w:styleId="1119">
    <w:name w:val="endnote reference"/>
    <w:basedOn w:val="1051"/>
    <w:uiPriority w:val="99"/>
    <w:semiHidden/>
    <w:unhideWhenUsed/>
    <w:rPr>
      <w:vertAlign w:val="superscript"/>
    </w:rPr>
  </w:style>
  <w:style w:type="character" w:styleId="1120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12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22">
    <w:name w:val="No Spacing"/>
    <w:link w:val="1123"/>
    <w:uiPriority w:val="1"/>
    <w:qFormat/>
    <w:pPr>
      <w:ind w:firstLine="567"/>
      <w:jc w:val="both"/>
    </w:pPr>
    <w:rPr>
      <w:sz w:val="28"/>
      <w:szCs w:val="28"/>
    </w:rPr>
  </w:style>
  <w:style w:type="character" w:styleId="1123" w:customStyle="1">
    <w:name w:val="Без интервала Знак"/>
    <w:link w:val="1122"/>
    <w:uiPriority w:val="1"/>
    <w:rPr>
      <w:sz w:val="28"/>
      <w:szCs w:val="28"/>
    </w:rPr>
  </w:style>
  <w:style w:type="character" w:styleId="1124" w:customStyle="1">
    <w:name w:val="Абзац списка Знак"/>
    <w:basedOn w:val="1051"/>
    <w:link w:val="1109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rosseti-ural.ru/company/trade/" TargetMode="External"/><Relationship Id="rId18" Type="http://schemas.openxmlformats.org/officeDocument/2006/relationships/hyperlink" Target="https://tender.lot-online.ru" TargetMode="External"/><Relationship Id="rId19" Type="http://schemas.openxmlformats.org/officeDocument/2006/relationships/image" Target="media/image1.emf"/><Relationship Id="rId20" Type="http://schemas.openxmlformats.org/officeDocument/2006/relationships/oleObject" Target="embeddings/oleObject1.bin"/><Relationship Id="rId21" Type="http://schemas.openxmlformats.org/officeDocument/2006/relationships/hyperlink" Target="http://www.rosseti.ru/about/contacts/opinion/" TargetMode="External"/><Relationship Id="rId22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69</cp:revision>
  <dcterms:created xsi:type="dcterms:W3CDTF">2025-01-16T03:18:00Z</dcterms:created>
  <dcterms:modified xsi:type="dcterms:W3CDTF">2026-08-26T11:49:26Z</dcterms:modified>
</cp:coreProperties>
</file>